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XNV-8080RSA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2560x1920, IP6K9K, IK10+, 3,9-9,4mm,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2560x1920@25fps (H.264/H.265)</w:t>
      </w:r>
    </w:p>
    <w:p>
      <w:pPr>
        <w:pStyle w:val="p2Style"/>
      </w:pPr>
      <w:r>
        <w:rPr>
          <w:rStyle w:val="textStyle"/>
        </w:rPr>
        <w:t xml:space="preserve">Motorisiertes 3,9-9,4mm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(F1,3,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Edelstahlgehäuse SUS316L, -40°C~+55°C,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XNV-8080RSA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SBP-300HMS6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2026-10-19T05:20:08+00:00</dcterms:created>
  <dcterms:modified xsi:type="dcterms:W3CDTF">2026-10-19T05:20:08+00:00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