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XNB-8002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Box, Tag/Nacht, 3328x1872, H.265, Audio, RS-485,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3328x1872@30fps (H.264/H.265)</w:t>
      </w:r>
    </w:p>
    <w:p>
      <w:pPr>
        <w:pStyle w:val="p2Style"/>
      </w:pPr>
      <w:r>
        <w:rPr>
          <w:rStyle w:val="textStyle"/>
        </w:rPr>
        <w:t xml:space="preserve">Ohne Objektiv, I-CS-Iris und P-Iris Unterstützung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extremeWDR, SSNRV, DIS (Gyrosensor), LDC</w:t>
      </w:r>
    </w:p>
    <w:p>
      <w:pPr>
        <w:pStyle w:val="p2Style"/>
      </w:pPr>
      <w:r>
        <w:rPr>
          <w:rStyle w:val="textStyle"/>
        </w:rPr>
        <w:t xml:space="preserve">Lichtempfindlichkeit 0,05Lux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Next Level Cybersecurity Standards</w:t>
      </w:r>
    </w:p>
    <w:p>
      <w:pPr>
        <w:pStyle w:val="p2Style"/>
      </w:pPr>
      <w:r>
        <w:rPr>
          <w:rStyle w:val="textStyle"/>
        </w:rPr>
        <w:t xml:space="preserve">Umfangreiche Audio- und Videoanalysen</w:t>
      </w:r>
    </w:p>
    <w:p>
      <w:pPr>
        <w:pStyle w:val="p2Style"/>
      </w:pPr>
      <w:r>
        <w:rPr>
          <w:rStyle w:val="textStyle"/>
        </w:rPr>
        <w:t xml:space="preserve">Serielle Schnittstelle (RS-485) für Steuerung</w:t>
      </w:r>
    </w:p>
    <w:p>
      <w:pPr>
        <w:pStyle w:val="p2Style"/>
      </w:pPr>
      <w:r>
        <w:rPr>
          <w:rStyle w:val="textStyle"/>
        </w:rPr>
        <w:t xml:space="preserve">Zwei micro SD/SDHC/SDXC Slots (je max. 256GB)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Innenanwendung, -10°C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XNB-8002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12VDC, PoE, IP66, Ivory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2026-07-21T07:58:39+00:00</dcterms:created>
  <dcterms:modified xsi:type="dcterms:W3CDTF">2026-07-21T07:58:39+00:00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