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x Standard, 2 x Analyse, 8TB HDD, JBOD, Mini-PC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vorinstallierte Symphony 7 Standard-Lizenzen</w:t>
      </w:r>
    </w:p>
    <w:p>
      <w:pPr>
        <w:pStyle w:val="p2Style"/>
      </w:pPr>
      <w:r>
        <w:rPr>
          <w:rStyle w:val="textStyle"/>
        </w:rPr>
        <w:t xml:space="preserve">2 vorinstallierte Analyse-Lizenzen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Einzellaufwerk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