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x Standard, 2 x Analyse, 8TB HDD, JBOD, Mini-PC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vorinstallierte Symphony 7 Standard-Lizenzen</w:t>
      </w:r>
    </w:p>
    <w:p>
      <w:pPr>
        <w:pStyle w:val="p2Style"/>
      </w:pPr>
      <w:r>
        <w:rPr>
          <w:rStyle w:val="textStyle"/>
        </w:rPr>
        <w:t xml:space="preserve">2 vorinstallierte Analyse-Lizenzen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Einzellaufwerk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2026-10-18T23:56:02+00:00</dcterms:created>
  <dcterms:modified xsi:type="dcterms:W3CDTF">2026-10-18T23:56:02+00:00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