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24 GHz, 180° Abdeckung, max. 85m Reichweite,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Radar-basierte Erkennung von unerlaubtem Betreten</w:t>
      </w:r>
    </w:p>
    <w:p>
      <w:pPr>
        <w:pStyle w:val="p2Style"/>
      </w:pPr>
      <w:r>
        <w:rPr>
          <w:rStyle w:val="textStyle"/>
        </w:rPr>
        <w:t xml:space="preserve">Phasengesteuertes frequenzmoduliertes Dauerstrichradar</w:t>
      </w:r>
    </w:p>
    <w:p>
      <w:pPr>
        <w:pStyle w:val="p2Style"/>
      </w:pPr>
      <w:r>
        <w:rPr>
          <w:rStyle w:val="textStyle"/>
        </w:rPr>
        <w:t xml:space="preserve">Frequenzbereich 24.05-24.25 GHz, Lizenzfreier Betrieb</w:t>
      </w:r>
    </w:p>
    <w:p>
      <w:pPr>
        <w:pStyle w:val="p2Style"/>
      </w:pPr>
      <w:r>
        <w:rPr>
          <w:rStyle w:val="textStyle"/>
        </w:rPr>
        <w:t xml:space="preserve">Präzise bei Nacht und in allen Wetterbedingungen</w:t>
      </w:r>
    </w:p>
    <w:p>
      <w:pPr>
        <w:pStyle w:val="p2Style"/>
      </w:pPr>
      <w:r>
        <w:rPr>
          <w:rStyle w:val="textStyle"/>
        </w:rPr>
        <w:t xml:space="preserve">Horizontaler Erfassungsbereich von 180°</w:t>
      </w:r>
    </w:p>
    <w:p>
      <w:pPr>
        <w:pStyle w:val="p2Style"/>
      </w:pPr>
      <w:r>
        <w:rPr>
          <w:rStyle w:val="textStyle"/>
        </w:rPr>
        <w:t xml:space="preserve">Detektionsreichweite: 3-60 m (Person), 3-85m (KFZ)</w:t>
      </w:r>
    </w:p>
    <w:p>
      <w:pPr>
        <w:pStyle w:val="p2Style"/>
      </w:pPr>
      <w:r>
        <w:rPr>
          <w:rStyle w:val="textStyle"/>
        </w:rPr>
        <w:t xml:space="preserve">AXIS Radar Autotracking für PTZ-Kameras</w:t>
      </w:r>
    </w:p>
    <w:p>
      <w:pPr>
        <w:pStyle w:val="p2Style"/>
      </w:pPr>
      <w:r>
        <w:rPr>
          <w:rStyle w:val="textStyle"/>
        </w:rPr>
        <w:t xml:space="preserve">Filterung nach Entfernung möglich</w:t>
      </w:r>
    </w:p>
    <w:p>
      <w:pPr>
        <w:pStyle w:val="p2Style"/>
      </w:pPr>
      <w:r>
        <w:rPr>
          <w:rStyle w:val="textStyle"/>
        </w:rPr>
        <w:t xml:space="preserve">Benutzerdefinierbare Erfassungsbereiche</w:t>
      </w:r>
    </w:p>
    <w:p>
      <w:pPr>
        <w:pStyle w:val="p2Style"/>
      </w:pPr>
      <w:r>
        <w:rPr>
          <w:rStyle w:val="textStyle"/>
        </w:rPr>
        <w:t xml:space="preserve">Power over Ethernet Plus (PoE+), PoE out</w:t>
      </w:r>
    </w:p>
    <w:p>
      <w:pPr>
        <w:pStyle w:val="p2Style"/>
      </w:pPr>
      <w:r>
        <w:rPr>
          <w:rStyle w:val="textStyle"/>
        </w:rPr>
        <w:t xml:space="preserve">Deep-, Machine-Learning-Analysefunktionen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Phasengesteuertes frequenzmoduliertes Dauerstrichradar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 MOUNT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Edelstahl, für AXIS D2050-VE, inkl. Montage Zubehör,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T91R61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neigbar, für AXIS D2110-VE, inkl. Anschlussdose und Kabelschlauch,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2026-09-22T15:50:11+00:00</dcterms:created>
  <dcterms:modified xsi:type="dcterms:W3CDTF">2026-09-22T15:50:11+00:00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