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TM3803 BLACK CASING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schwarz, für AXIS M3067-P, AXIS M3068-P,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als Zubehörvariante</w:t>
      </w:r>
    </w:p>
    <w:p>
      <w:pPr>
        <w:pStyle w:val="p2Style"/>
      </w:pPr>
      <w:r>
        <w:rPr>
          <w:rStyle w:val="textStyle"/>
        </w:rPr>
        <w:t xml:space="preserve">Erhältlich in der Farbe Schwarz</w:t>
      </w:r>
    </w:p>
    <w:p>
      <w:pPr>
        <w:pStyle w:val="p2Style"/>
      </w:pPr>
      <w:r>
        <w:rPr>
          <w:rStyle w:val="textStyle"/>
        </w:rPr>
        <w:t xml:space="preserve">Überlackierbar</w:t>
      </w:r>
    </w:p>
    <w:p>
      <w:pPr>
        <w:pStyle w:val="p2Style"/>
      </w:pPr>
      <w:r>
        <w:rPr>
          <w:rStyle w:val="textStyle"/>
        </w:rPr>
        <w:t xml:space="preserve">Ersetzt das weiße Standardgehäuse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2026-10-18T23:56:27+00:00</dcterms:created>
  <dcterms:modified xsi:type="dcterms:W3CDTF">2026-10-18T23:56:27+00:00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