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1920x1080,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Ohne Objektiv, C/CS Mount,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SSDR, SSNR</w:t>
      </w:r>
    </w:p>
    <w:p>
      <w:pPr>
        <w:pStyle w:val="p2Style"/>
      </w:pPr>
      <w:r>
        <w:rPr>
          <w:rStyle w:val="textStyle"/>
        </w:rPr>
        <w:t xml:space="preserve">Lichtempfindlichkeit 0,01Lux (F1,2/Farbe)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Integrierte Video Analyse Funktionen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als Installationshilfe</w:t>
      </w:r>
    </w:p>
    <w:p>
      <w:pPr>
        <w:pStyle w:val="p2Style"/>
      </w:pPr>
      <w:r>
        <w:rPr>
          <w:rStyle w:val="textStyle"/>
        </w:rPr>
        <w:t xml:space="preserve">Stromversorgung: PoE (IEEE802.3af, Class 3), 12VDC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