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inklusive aller verfügbaren Lizenzen, IP65, 8GB interner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Außeneinsatz</w:t>
      </w:r>
    </w:p>
    <w:p>
      <w:pPr>
        <w:pStyle w:val="p2Style"/>
      </w:pPr>
      <w:r>
        <w:rPr>
          <w:rStyle w:val="textStyle"/>
        </w:rPr>
        <w:t xml:space="preserve">Für Einbauhöhen von 2 - 6 Meter</w:t>
      </w:r>
    </w:p>
    <w:p>
      <w:pPr>
        <w:pStyle w:val="p2Style"/>
      </w:pPr>
      <w:r>
        <w:rPr>
          <w:rStyle w:val="textStyle"/>
        </w:rPr>
        <w:t xml:space="preserve">Beinhaltet die Lizenzen: Objekt-Klassifikation</w:t>
      </w:r>
    </w:p>
    <w:p>
      <w:pPr>
        <w:pStyle w:val="p2Style"/>
      </w:pPr>
      <w:r>
        <w:rPr>
          <w:rStyle w:val="textStyle"/>
        </w:rPr>
        <w:t xml:space="preserve">Zonen-Überwachung</w:t>
      </w:r>
    </w:p>
    <w:p>
      <w:pPr>
        <w:pStyle w:val="p2Style"/>
      </w:pPr>
      <w:r>
        <w:rPr>
          <w:rStyle w:val="textStyle"/>
        </w:rPr>
        <w:t xml:space="preserve">Video Recording</w:t>
      </w:r>
    </w:p>
    <w:p>
      <w:pPr>
        <w:pStyle w:val="p2Style"/>
      </w:pPr>
      <w:r>
        <w:rPr>
          <w:rStyle w:val="textStyle"/>
        </w:rPr>
        <w:t xml:space="preserve">Object List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Retail Intelligence, 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2026-07-21T08:11:19+00:00</dcterms:created>
  <dcterms:modified xsi:type="dcterms:W3CDTF">2026-07-21T08:11:19+00:00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