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headStyle"/>
        </w:rPr>
        <w:t xml:space="preserve">Ausschreibungstext</w:t>
      </w:r>
    </w:p>
    <w:p>
      <w:pPr>
        <w:pStyle w:val="p2Style"/>
      </w:pPr>
      <w:r>
        <w:rPr>
          <w:rStyle w:val="head2Style"/>
        </w:rPr>
        <w:t xml:space="preserve"/>
      </w:r>
    </w:p>
    <w:p>
      <w:pPr>
        <w:pStyle w:val="p2Style"/>
      </w:pPr>
      <w:r>
        <w:rPr>
          <w:rStyle w:val="head2Style"/>
        </w:rPr>
        <w:t xml:space="preserve"/>
      </w:r>
    </w:p>
    <w:p>
      <w:pPr>
        <w:pStyle w:val="p2Style"/>
      </w:pPr>
      <w:r>
        <w:rPr>
          <w:rStyle w:val="head2Style"/>
        </w:rPr>
        <w:t xml:space="preserve"/>
      </w:r>
    </w:p>
    <w:p>
      <w:pPr>
        <w:pStyle w:val="p2Style"/>
      </w:pPr>
      <w:r>
        <w:rPr>
          <w:rStyle w:val="head2Style"/>
        </w:rPr>
        <w:t xml:space="preserve">Artikelnummer</w:t>
      </w:r>
    </w:p>
    <w:p>
      <w:pPr>
        <w:pStyle w:val="p2Style"/>
      </w:pPr>
      <w:r>
        <w:rPr>
          <w:rStyle w:val="textStyle"/>
        </w:rPr>
        <w:t xml:space="preserve">226073</w:t>
      </w:r>
    </w:p>
    <w:p>
      <w:pPr>
        <w:pStyle w:val="p2Style"/>
      </w:pPr>
      <w:r>
        <w:rPr>
          <w:rStyle w:val="head2Style"/>
        </w:rPr>
        <w:t xml:space="preserve"/>
      </w:r>
    </w:p>
    <w:p>
      <w:pPr>
        <w:pStyle w:val="p2Style"/>
      </w:pPr>
      <w:r>
        <w:rPr>
          <w:rStyle w:val="head2Style"/>
        </w:rPr>
        <w:t xml:space="preserve">Typ</w:t>
      </w:r>
    </w:p>
    <w:p>
      <w:pPr>
        <w:pStyle w:val="p2Style"/>
      </w:pPr>
      <w:r>
        <w:rPr>
          <w:rStyle w:val="textStyle"/>
        </w:rPr>
        <w:t xml:space="preserve">APS-90E W KZRLW</w:t>
      </w:r>
    </w:p>
    <w:p>
      <w:pPr>
        <w:pStyle w:val="p2Style"/>
      </w:pPr>
      <w:r>
        <w:rPr>
          <w:rStyle w:val="head2Style"/>
        </w:rPr>
        <w:t xml:space="preserve"/>
      </w:r>
    </w:p>
    <w:p>
      <w:pPr>
        <w:pStyle w:val="p2Style"/>
      </w:pPr>
      <w:r>
        <w:rPr>
          <w:rStyle w:val="head2Style"/>
        </w:rPr>
        <w:t xml:space="preserve">Kurzbeschreibung</w:t>
      </w:r>
    </w:p>
    <w:p>
      <w:pPr>
        <w:pStyle w:val="p2Style"/>
      </w:pPr>
      <w:r>
        <w:rPr>
          <w:rStyle w:val="textStyle"/>
        </w:rPr>
        <w:t xml:space="preserve">3D Sensor, POE, alle Lizenzen inklusive, weiß, mit Frontblende und Aufputzgehäuse</w:t>
      </w:r>
    </w:p>
    <w:p>
      <w:pPr>
        <w:pStyle w:val="p2Style"/>
      </w:pPr>
      <w:r>
        <w:rPr>
          <w:rStyle w:val="head2Style"/>
        </w:rPr>
        <w:t xml:space="preserve"/>
      </w:r>
    </w:p>
    <w:p>
      <w:pPr>
        <w:pStyle w:val="p2Style"/>
      </w:pPr>
      <w:r>
        <w:rPr>
          <w:rStyle w:val="head2Style"/>
        </w:rPr>
        <w:t xml:space="preserve">Hauptmerkmale</w:t>
      </w:r>
    </w:p>
    <w:p>
      <w:pPr>
        <w:pStyle w:val="p2Style"/>
      </w:pPr>
      <w:r>
        <w:rPr>
          <w:rStyle w:val="textStyle"/>
        </w:rPr>
        <w:t xml:space="preserve">Für Einbauhöhen von 2 - 6 Meter</w:t>
      </w:r>
    </w:p>
    <w:p>
      <w:pPr>
        <w:pStyle w:val="p2Style"/>
      </w:pPr>
      <w:r>
        <w:rPr>
          <w:rStyle w:val="textStyle"/>
        </w:rPr>
        <w:t xml:space="preserve">Beinhaltet die Lizenzen: Objekt-Klassifikation, Zonen-Überwachung, Video Recording, Object List und Wireless</w:t>
      </w:r>
    </w:p>
    <w:p>
      <w:pPr>
        <w:pStyle w:val="p2Style"/>
      </w:pPr>
      <w:r>
        <w:rPr>
          <w:rStyle w:val="textStyle"/>
        </w:rPr>
        <w:t xml:space="preserve">8 GB Interner Speicher</w:t>
      </w:r>
    </w:p>
    <w:p>
      <w:pPr>
        <w:pStyle w:val="p2Style"/>
      </w:pPr>
      <w:r>
        <w:rPr>
          <w:rStyle w:val="textStyle"/>
        </w:rPr>
        <w:t xml:space="preserve">Video Recording: Um Videodaten im Sensor zu speichern</w:t>
      </w:r>
    </w:p>
    <w:p>
      <w:pPr>
        <w:pStyle w:val="p2Style"/>
      </w:pPr>
      <w:r>
        <w:rPr>
          <w:rStyle w:val="textStyle"/>
        </w:rPr>
        <w:t xml:space="preserve">Object List: erstellt eine Liste aktueller Objekte/Personen</w:t>
      </w:r>
    </w:p>
    <w:p>
      <w:pPr>
        <w:pStyle w:val="p2Style"/>
      </w:pPr>
      <w:r>
        <w:rPr>
          <w:rStyle w:val="textStyle"/>
        </w:rPr>
        <w:t xml:space="preserve">Wireless: Shaltet Wireless-Modi frei</w:t>
      </w:r>
    </w:p>
    <w:p>
      <w:pPr>
        <w:pStyle w:val="p2Style"/>
      </w:pPr>
      <w:r>
        <w:rPr>
          <w:rStyle w:val="textStyle"/>
        </w:rPr>
        <w:t xml:space="preserve">Für Einbauhöhen von 2 - 6 Meter</w:t>
      </w:r>
    </w:p>
    <w:p>
      <w:pPr>
        <w:pStyle w:val="p2Style"/>
      </w:pPr>
      <w:r>
        <w:rPr>
          <w:rStyle w:val="textStyle"/>
        </w:rPr>
        <w:t xml:space="preserve">8 GB Interner Speicher</w:t>
      </w:r>
    </w:p>
    <w:p>
      <w:pPr>
        <w:pStyle w:val="p2Style"/>
      </w:pPr>
      <w:r>
        <w:rPr>
          <w:rStyle w:val="head2Style"/>
        </w:rPr>
        <w:t xml:space="preserve"/>
      </w:r>
    </w:p>
    <w:p>
      <w:pPr>
        <w:pStyle w:val="p2Style"/>
      </w:pPr>
      <w:r>
        <w:rPr>
          <w:rStyle w:val="head2Style"/>
        </w:rPr>
        <w:t xml:space="preserve">Weitere Merkmale (Spezifikationen)</w:t>
      </w:r>
    </w:p>
    <w:tbl>
      <w:tblPr>
        <w:tblStyle w:val="specifications"/>
      </w:tblPr>
      <w:tr>
        <w:tc>
          <w:tcPr>
            <w:tcW w:w="4500" w:type="dxa"/>
            <w:vAlign w:val="top"/>
          </w:tcPr>
          <w:p>
            <w:pPr>
              <w:spacing w:after="10"/>
            </w:pPr>
            <w:r>
              <w:rPr>
                <w:rStyle w:val=""/>
              </w:rPr>
              <w:t xml:space="preserve">Serie</w:t>
            </w:r>
          </w:p>
        </w:tc>
        <w:tc>
          <w:tcPr>
            <w:tcW w:w="4500" w:type="dxa"/>
            <w:vAlign w:val="top"/>
          </w:tcPr>
          <w:p>
            <w:pPr>
              <w:spacing w:after="10"/>
            </w:pPr>
            <w:r>
              <w:rPr>
                <w:rStyle w:val=""/>
              </w:rPr>
              <w:t xml:space="preserve">APS</w:t>
            </w:r>
          </w:p>
        </w:tc>
      </w:tr>
      <w:tr>
        <w:tc>
          <w:tcPr>
            <w:tcW w:w="4500" w:type="dxa"/>
            <w:vAlign w:val="top"/>
          </w:tcPr>
          <w:p>
            <w:pPr>
              <w:spacing w:after="10"/>
            </w:pPr>
            <w:r>
              <w:rPr>
                <w:rStyle w:val=""/>
              </w:rPr>
              <w:t xml:space="preserve">Kameratyp</w:t>
            </w:r>
          </w:p>
        </w:tc>
        <w:tc>
          <w:tcPr>
            <w:tcW w:w="4500" w:type="dxa"/>
            <w:vAlign w:val="top"/>
          </w:tcPr>
          <w:p>
            <w:pPr>
              <w:spacing w:after="10"/>
            </w:pPr>
            <w:r>
              <w:rPr>
                <w:rStyle w:val=""/>
              </w:rPr>
              <w:t xml:space="preserve">Personenzählung, Retail Intelligence</w:t>
            </w:r>
          </w:p>
        </w:tc>
      </w:tr>
      <w:tr>
        <w:tc>
          <w:tcPr>
            <w:tcW w:w="4500" w:type="dxa"/>
            <w:vAlign w:val="top"/>
          </w:tcPr>
          <w:p>
            <w:pPr>
              <w:spacing w:after="10"/>
            </w:pPr>
            <w:r>
              <w:rPr>
                <w:rStyle w:val=""/>
              </w:rPr>
              <w:t xml:space="preserve">Bewegungsmelder</w:t>
            </w:r>
          </w:p>
        </w:tc>
        <w:tc>
          <w:tcPr>
            <w:tcW w:w="4500" w:type="dxa"/>
            <w:vAlign w:val="top"/>
          </w:tcPr>
          <w:p>
            <w:pPr>
              <w:spacing w:after="10"/>
            </w:pPr>
            <w:r>
              <w:rPr>
                <w:rStyle w:val=""/>
              </w:rPr>
              <w:t xml:space="preserve">ja</w:t>
            </w:r>
          </w:p>
        </w:tc>
      </w:tr>
      <w:tr>
        <w:tc>
          <w:tcPr>
            <w:tcW w:w="4500" w:type="dxa"/>
            <w:vAlign w:val="top"/>
          </w:tcPr>
          <w:p>
            <w:pPr>
              <w:spacing w:after="10"/>
            </w:pPr>
            <w:r>
              <w:rPr>
                <w:rStyle w:val=""/>
              </w:rPr>
              <w:t xml:space="preserve">Gehäuse</w:t>
            </w:r>
          </w:p>
        </w:tc>
        <w:tc>
          <w:tcPr>
            <w:tcW w:w="4500" w:type="dxa"/>
            <w:vAlign w:val="top"/>
          </w:tcPr>
          <w:p>
            <w:pPr>
              <w:spacing w:after="10"/>
            </w:pPr>
            <w:r>
              <w:rPr>
                <w:rStyle w:val=""/>
              </w:rPr>
              <w:t xml:space="preserve">Innen</w:t>
            </w:r>
          </w:p>
        </w:tc>
      </w:tr>
      <w:tr>
        <w:tc>
          <w:tcPr>
            <w:tcW w:w="4500" w:type="dxa"/>
            <w:vAlign w:val="top"/>
          </w:tcPr>
          <w:p>
            <w:pPr>
              <w:spacing w:after="10"/>
            </w:pPr>
            <w:r>
              <w:rPr>
                <w:rStyle w:val=""/>
              </w:rPr>
              <w:t xml:space="preserve">Farbe (Gehäuse)</w:t>
            </w:r>
          </w:p>
        </w:tc>
        <w:tc>
          <w:tcPr>
            <w:tcW w:w="4500" w:type="dxa"/>
            <w:vAlign w:val="top"/>
          </w:tcPr>
          <w:p>
            <w:pPr>
              <w:spacing w:after="10"/>
            </w:pPr>
            <w:r>
              <w:rPr>
                <w:rStyle w:val=""/>
              </w:rPr>
              <w:t xml:space="preserve">weiß</w:t>
            </w:r>
          </w:p>
        </w:tc>
      </w:tr>
      <w:tr>
        <w:tc>
          <w:tcPr>
            <w:tcW w:w="4500" w:type="dxa"/>
            <w:vAlign w:val="top"/>
          </w:tcPr>
          <w:p>
            <w:pPr>
              <w:spacing w:after="10"/>
            </w:pPr>
            <w:r>
              <w:rPr>
                <w:rStyle w:val=""/>
              </w:rPr>
              <w:t xml:space="preserve">Gehäusematerial</w:t>
            </w:r>
          </w:p>
        </w:tc>
        <w:tc>
          <w:tcPr>
            <w:tcW w:w="4500" w:type="dxa"/>
            <w:vAlign w:val="top"/>
          </w:tcPr>
          <w:p>
            <w:pPr>
              <w:spacing w:after="10"/>
            </w:pPr>
            <w:r>
              <w:rPr>
                <w:rStyle w:val=""/>
              </w:rPr>
              <w:t xml:space="preserve">Kunststoff</w:t>
            </w:r>
          </w:p>
        </w:tc>
      </w:tr>
      <w:tr>
        <w:tc>
          <w:tcPr>
            <w:tcW w:w="4500" w:type="dxa"/>
            <w:vAlign w:val="top"/>
          </w:tcPr>
          <w:p>
            <w:pPr>
              <w:spacing w:after="10"/>
            </w:pPr>
            <w:r>
              <w:rPr>
                <w:rStyle w:val=""/>
              </w:rPr>
              <w:t xml:space="preserve">Alarmeingänge</w:t>
            </w:r>
          </w:p>
        </w:tc>
        <w:tc>
          <w:tcPr>
            <w:tcW w:w="4500" w:type="dxa"/>
            <w:vAlign w:val="top"/>
          </w:tcPr>
          <w:p>
            <w:pPr>
              <w:spacing w:after="10"/>
            </w:pPr>
            <w:r>
              <w:rPr>
                <w:rStyle w:val=""/>
              </w:rPr>
              <w:t xml:space="preserve">nein</w:t>
            </w:r>
          </w:p>
        </w:tc>
      </w:tr>
      <w:tr>
        <w:tc>
          <w:tcPr>
            <w:tcW w:w="4500" w:type="dxa"/>
            <w:vAlign w:val="top"/>
          </w:tcPr>
          <w:p>
            <w:pPr>
              <w:spacing w:after="10"/>
            </w:pPr>
            <w:r>
              <w:rPr>
                <w:rStyle w:val=""/>
              </w:rPr>
              <w:t xml:space="preserve">Audiounterstützung</w:t>
            </w:r>
          </w:p>
        </w:tc>
        <w:tc>
          <w:tcPr>
            <w:tcW w:w="4500" w:type="dxa"/>
            <w:vAlign w:val="top"/>
          </w:tcPr>
          <w:p>
            <w:pPr>
              <w:spacing w:after="10"/>
            </w:pPr>
            <w:r>
              <w:rPr>
                <w:rStyle w:val=""/>
              </w:rPr>
              <w:t xml:space="preserve">nein</w:t>
            </w:r>
          </w:p>
        </w:tc>
      </w:tr>
      <w:tr>
        <w:tc>
          <w:tcPr>
            <w:tcW w:w="4500" w:type="dxa"/>
            <w:vAlign w:val="top"/>
          </w:tcPr>
          <w:p>
            <w:pPr>
              <w:spacing w:after="10"/>
            </w:pPr>
            <w:r>
              <w:rPr>
                <w:rStyle w:val=""/>
              </w:rPr>
              <w:t xml:space="preserve">Steuer-Schnittstellen</w:t>
            </w:r>
          </w:p>
        </w:tc>
        <w:tc>
          <w:tcPr>
            <w:tcW w:w="4500" w:type="dxa"/>
            <w:vAlign w:val="top"/>
          </w:tcPr>
          <w:p>
            <w:pPr>
              <w:spacing w:after="10"/>
            </w:pPr>
            <w:r>
              <w:rPr>
                <w:rStyle w:val=""/>
              </w:rPr>
              <w:t xml:space="preserve">10/100-Base-TX, M12</w:t>
            </w:r>
          </w:p>
        </w:tc>
      </w:tr>
      <w:tr>
        <w:tc>
          <w:tcPr>
            <w:tcW w:w="4500" w:type="dxa"/>
            <w:vAlign w:val="top"/>
          </w:tcPr>
          <w:p>
            <w:pPr>
              <w:spacing w:after="10"/>
            </w:pPr>
            <w:r>
              <w:rPr>
                <w:rStyle w:val=""/>
              </w:rPr>
              <w:t xml:space="preserve">Interner Speicher</w:t>
            </w:r>
          </w:p>
        </w:tc>
        <w:tc>
          <w:tcPr>
            <w:tcW w:w="4500" w:type="dxa"/>
            <w:vAlign w:val="top"/>
          </w:tcPr>
          <w:p>
            <w:pPr>
              <w:spacing w:after="10"/>
            </w:pPr>
            <w:r>
              <w:rPr>
                <w:rStyle w:val=""/>
              </w:rPr>
              <w:t xml:space="preserve">8GB</w:t>
            </w:r>
          </w:p>
        </w:tc>
      </w:tr>
      <w:tr>
        <w:tc>
          <w:tcPr>
            <w:tcW w:w="4500" w:type="dxa"/>
            <w:vAlign w:val="top"/>
          </w:tcPr>
          <w:p>
            <w:pPr>
              <w:spacing w:after="10"/>
            </w:pPr>
            <w:r>
              <w:rPr>
                <w:rStyle w:val=""/>
              </w:rPr>
              <w:t xml:space="preserve">Stromversorgung</w:t>
            </w:r>
          </w:p>
        </w:tc>
        <w:tc>
          <w:tcPr>
            <w:tcW w:w="4500" w:type="dxa"/>
            <w:vAlign w:val="top"/>
          </w:tcPr>
          <w:p>
            <w:pPr>
              <w:spacing w:after="10"/>
            </w:pPr>
            <w:r>
              <w:rPr>
                <w:rStyle w:val=""/>
              </w:rPr>
              <w:t xml:space="preserve">PoE</w:t>
            </w:r>
          </w:p>
        </w:tc>
      </w:tr>
      <w:tr>
        <w:tc>
          <w:tcPr>
            <w:tcW w:w="4500" w:type="dxa"/>
            <w:vAlign w:val="top"/>
          </w:tcPr>
          <w:p>
            <w:pPr>
              <w:spacing w:after="10"/>
            </w:pPr>
            <w:r>
              <w:rPr>
                <w:rStyle w:val=""/>
              </w:rPr>
              <w:t xml:space="preserve">Vandalismusgeschützt</w:t>
            </w:r>
          </w:p>
        </w:tc>
        <w:tc>
          <w:tcPr>
            <w:tcW w:w="4500" w:type="dxa"/>
            <w:vAlign w:val="top"/>
          </w:tcPr>
          <w:p>
            <w:pPr>
              <w:spacing w:after="10"/>
            </w:pPr>
            <w:r>
              <w:rPr>
                <w:rStyle w:val=""/>
              </w:rPr>
              <w:t xml:space="preserve">nein</w:t>
            </w:r>
          </w:p>
        </w:tc>
      </w:tr>
      <w:tr>
        <w:tc>
          <w:tcPr>
            <w:tcW w:w="4500" w:type="dxa"/>
            <w:vAlign w:val="top"/>
          </w:tcPr>
          <w:p>
            <w:pPr>
              <w:spacing w:after="10"/>
            </w:pPr>
            <w:r>
              <w:rPr>
                <w:rStyle w:val=""/>
              </w:rPr>
              <w:t xml:space="preserve">Temperaturbereich (Betrieb)</w:t>
            </w:r>
          </w:p>
        </w:tc>
        <w:tc>
          <w:tcPr>
            <w:tcW w:w="4500" w:type="dxa"/>
            <w:vAlign w:val="top"/>
          </w:tcPr>
          <w:p>
            <w:pPr>
              <w:spacing w:after="10"/>
            </w:pPr>
            <w:r>
              <w:rPr>
                <w:rStyle w:val=""/>
              </w:rPr>
              <w:t xml:space="preserve">0°C ~ +55°C</w:t>
            </w:r>
          </w:p>
        </w:tc>
      </w:tr>
      <w:tr>
        <w:tc>
          <w:tcPr>
            <w:tcW w:w="4500" w:type="dxa"/>
            <w:vAlign w:val="top"/>
          </w:tcPr>
          <w:p>
            <w:pPr>
              <w:spacing w:after="10"/>
            </w:pPr>
            <w:r>
              <w:rPr>
                <w:rStyle w:val=""/>
              </w:rPr>
              <w:t xml:space="preserve">ONVIF</w:t>
            </w:r>
          </w:p>
        </w:tc>
        <w:tc>
          <w:tcPr>
            <w:tcW w:w="4500" w:type="dxa"/>
            <w:vAlign w:val="top"/>
          </w:tcPr>
          <w:p>
            <w:pPr>
              <w:spacing w:after="10"/>
            </w:pPr>
            <w:r>
              <w:rPr>
                <w:rStyle w:val=""/>
              </w:rPr>
              <w:t xml:space="preserve">nein</w:t>
            </w:r>
          </w:p>
        </w:tc>
      </w:tr>
      <w:tr>
        <w:tc>
          <w:tcPr>
            <w:tcW w:w="4500" w:type="dxa"/>
            <w:vAlign w:val="top"/>
          </w:tcPr>
          <w:p>
            <w:pPr>
              <w:spacing w:after="10"/>
            </w:pPr>
            <w:r>
              <w:rPr>
                <w:rStyle w:val=""/>
              </w:rPr>
              <w:t xml:space="preserve">Schutzart</w:t>
            </w:r>
          </w:p>
        </w:tc>
        <w:tc>
          <w:tcPr>
            <w:tcW w:w="4500" w:type="dxa"/>
            <w:vAlign w:val="top"/>
          </w:tcPr>
          <w:p>
            <w:pPr>
              <w:spacing w:after="10"/>
            </w:pPr>
            <w:r>
              <w:rPr>
                <w:rStyle w:val=""/>
              </w:rPr>
              <w:t xml:space="preserve">IP40</w:t>
            </w:r>
          </w:p>
        </w:tc>
      </w:tr>
      <w:tr>
        <w:tc>
          <w:tcPr>
            <w:tcW w:w="4500" w:type="dxa"/>
            <w:vAlign w:val="top"/>
          </w:tcPr>
          <w:p>
            <w:pPr>
              <w:spacing w:after="10"/>
            </w:pPr>
            <w:r>
              <w:rPr>
                <w:rStyle w:val=""/>
              </w:rPr>
              <w:t xml:space="preserve">Hersteller-Nummer</w:t>
            </w:r>
          </w:p>
        </w:tc>
        <w:tc>
          <w:tcPr>
            <w:tcW w:w="4500" w:type="dxa"/>
            <w:vAlign w:val="top"/>
          </w:tcPr>
          <w:p>
            <w:pPr>
              <w:spacing w:after="10"/>
            </w:pPr>
            <w:r>
              <w:rPr>
                <w:rStyle w:val=""/>
              </w:rPr>
              <w:t xml:space="preserve">APS-90E W KZRLW</w:t>
            </w:r>
          </w:p>
        </w:tc>
      </w:tr>
      <w:tr>
        <w:tc>
          <w:tcPr>
            <w:tcW w:w="4500" w:type="dxa"/>
            <w:vAlign w:val="top"/>
          </w:tcPr>
          <w:p>
            <w:pPr>
              <w:spacing w:after="10"/>
            </w:pPr>
            <w:r>
              <w:rPr>
                <w:rStyle w:val=""/>
              </w:rPr>
              <w:t xml:space="preserve">Hersteller</w:t>
            </w:r>
          </w:p>
        </w:tc>
        <w:tc>
          <w:tcPr>
            <w:tcW w:w="4500" w:type="dxa"/>
            <w:vAlign w:val="top"/>
          </w:tcPr>
          <w:p>
            <w:pPr>
              <w:spacing w:after="10"/>
            </w:pPr>
            <w:r>
              <w:rPr>
                <w:rStyle w:val=""/>
              </w:rPr>
              <w:t xml:space="preserve">Hella Aglaia</w:t>
            </w:r>
          </w:p>
        </w:tc>
      </w:tr>
    </w:tbl>
    <w:p>
      <w:pPr>
        <w:pStyle w:val="p2Style"/>
      </w:pPr>
      <w:r>
        <w:rPr>
          <w:rStyle w:val="head2Style"/>
        </w:rPr>
        <w:t xml:space="preserve"/>
      </w:r>
    </w:p>
    <w:p>
      <w:pPr>
        <w:pStyle w:val="p2Style"/>
      </w:pPr>
      <w:r>
        <w:rPr>
          <w:rStyle w:val="head2Style"/>
        </w:rPr>
        <w:t xml:space="preserve">Weitere Produktinformationen</w:t>
      </w:r>
    </w:p>
    <w:p>
      <w:pPr>
        <w:pStyle w:val="p2Style"/>
      </w:pPr>
      <w:r>
        <w:rPr>
          <w:rStyle w:val="textStyle"/>
        </w:rPr>
        <w:t xml:space="preserve"/>
      </w:r>
    </w:p>
    <w:p>
      <w:pPr>
        <w:pStyle w:val="p2Style"/>
      </w:pPr>
      <w:r>
        <w:rPr>
          <w:rStyle w:val="textStyle"/>
        </w:rPr>
        <w:t xml:space="preserve">&lt;p&gt;Beinhaltet:&lt;/p&gt;&lt;p&gt;&lt;strong&gt;013.927-047 APS-90E&lt;/strong&gt;&lt;/p&gt;&lt;p&gt;Inklusive: &lt;br /&gt;&lt;strong&gt;226.140-007 Frontblende (weiß)&lt;/strong&gt;&lt;br /&gt;&lt;strong&gt;226.141-007 Aufputzgehäuse (weiß)&lt;/strong&gt;&lt;br /&gt;&lt;/p&gt;&lt;p&gt;&lt;strong&gt;921.700-13B Objekt-Klassifikation&lt;/strong&gt;&lt;/p&gt;&lt;p&gt;Das Gerät erkennt Objekte, die größer als 50 cm sind. Es unterdrückt statische Objekte. Es klassifiziert Objekte als&lt;br /&gt; 1. Erwachsene ab 130 cm&lt;br /&gt; 2. Kinder bis 130 cm&lt;br /&gt; 3. Fahrräder (für APS-R / APS-B)&lt;br /&gt; Einkaufswagen und andere Objekte werden unterdrückt.&lt;/p&gt;&lt;p&gt;&lt;br /&gt;&lt;strong&gt;921.700-14B Zonen-Überwachung&lt;/strong&gt;&lt;/p&gt;&lt;p&gt;Wird verwendet, um die Anzahl von Personen in einer Zone zu ermitteln, z.B. wie viele Leute sind derzeit in einer Schleuse, Aufzug oder vor einem Geldautomaten. Basierend auf diesen Informationen werden maximale und durchschnittliche Verweilzeiten berechnet und angezeigt. Ein digitaler Ausgang kann verwendet werden, um eine Zonenwarnung basierend auf einer Anzahl von Personen oder einer maximalen Verweildauer auszugeben.&lt;/p&gt;&lt;p&gt;&lt;br /&gt;&lt;strong&gt;921.700-17B Video Recording&lt;/strong&gt;&lt;/p&gt;&lt;p&gt;Videodaten können im Sensor gespeichert werden. Nach der Aufzeichnung können die Daten automatisch an einen Server gesendet oder manuell von der Benutzeroberfläche heruntergeladen werden. Aufzeichnungen können zur Validierung der Genauigkeit des Sensors verwendet werden, was eine einfachere Lösung darstellt als eine Live-Validierung vor Ort aufgrund der großen Menge an statistisch relevanten Informationen, die in Echtzeit erzeugt werden. Mit dem "APS Video Player" können diese Aufnahmen angesehen werden.&lt;br /&gt; Ermöglicht auch die Nutzung eines RTSP Video Streams.&lt;/p&gt;&lt;p&gt;&lt;br /&gt;&lt;strong&gt;921.700-11B Object List &lt;/strong&gt;&lt;/p&gt;&lt;p&gt;Diese Funktion erstellt eine Liste aktueller Objekte (Personen). Für jedes Objekt enthält es die aktuelle Position, Höhe, Eintrittsposition, Verweilzeit und Bewegungsvektor. Zusätzlich steht eine Liste von historischen Objekten zur Verfügung. Diese Objektlistenfunktion kann für Ihre eigenen Anwendungen verwendet werden, die auf der Verfolgung von Personen basieren.&lt;/p&gt;&lt;p&gt;&lt;br /&gt;&lt;strong&gt;921.700-22B Wireless Dienste&lt;/strong&gt;&lt;/p&gt;&lt;p&gt;In Kombination mit einem WLAN USB-Adapter sind drei Modi verfügbar:&lt;br /&gt;1. WLAN Scanning - Scan nach drahtloser Geräte (z. B. Smartphones)&lt;br /&gt;2. WLAN HMI Zugang - Zugriff auf die Benutzeroberfläche über WiFi&lt;br /&gt;3. WLAN Datenschnittstelle - Übertragung von Zähldaten und anderen Informationen&lt;/p&gt;&lt;p&gt;&lt;br /&gt;HINWEIS: Funktioniert nur mit dem folgenden &lt;a href="https://www.videor.com/de/usb-wireless-network-adapter.html"&gt;USB-Adapter 226.167-007 (VIDEOR Teilenummer 226282) USB WIRELESS NETWORK ADAPTER&lt;/a&gt;&lt;/p&gt;</w:t>
      </w:r>
    </w:p>
    <w:p>
      <w:pPr>
        <w:pStyle w:val="p2Style"/>
      </w:pPr>
      <w:r>
        <w:rPr>
          <w:rStyle w:val="head2Style"/>
        </w:rPr>
        <w:t xml:space="preserve"/>
      </w:r>
    </w:p>
    <w:p>
      <w:pPr>
        <w:pStyle w:val="p2Style"/>
      </w:pPr>
      <w:r>
        <w:rPr>
          <w:rStyle w:val="head2Style"/>
        </w:rPr>
        <w:t xml:space="preserve">Zubehör</w:t>
      </w:r>
    </w:p>
    <w:tbl>
      <w:tblPr>
        <w:tblStyle w:val="crosssell_products"/>
      </w:tblPr>
      <w:tr>
        <w:tc>
          <w:tcPr>
            <w:tcW w:w="4500" w:type="dxa"/>
            <w:vAlign w:val="top"/>
          </w:tcPr>
          <w:p>
            <w:pPr>
              <w:spacing w:after="10"/>
            </w:pPr>
            <w:r>
              <w:rPr>
                <w:rStyle w:val=""/>
              </w:rPr>
              <w:t xml:space="preserve">APS-90E Kamerastativ-Adapter</w:t>
            </w:r>
          </w:p>
        </w:tc>
        <w:tc>
          <w:tcPr>
            <w:tcW w:w="4500" w:type="dxa"/>
            <w:vAlign w:val="top"/>
          </w:tcPr>
          <w:p>
            <w:pPr>
              <w:spacing w:after="10"/>
            </w:pPr>
            <w:r>
              <w:rPr>
                <w:rStyle w:val=""/>
              </w:rPr>
              <w:t xml:space="preserve">Kamerastativ-Adapter für die APS-90 Sensoren</w:t>
            </w:r>
          </w:p>
        </w:tc>
      </w:tr>
      <w:tr>
        <w:tc>
          <w:tcPr>
            <w:tcW w:w="4500" w:type="dxa"/>
            <w:vAlign w:val="top"/>
          </w:tcPr>
          <w:p>
            <w:pPr>
              <w:spacing w:after="10"/>
            </w:pPr>
            <w:r>
              <w:rPr>
                <w:rStyle w:val=""/>
              </w:rPr>
              <w:t xml:space="preserve">USB Wireless Network Adapter</w:t>
            </w:r>
          </w:p>
        </w:tc>
        <w:tc>
          <w:tcPr>
            <w:tcW w:w="4500" w:type="dxa"/>
            <w:vAlign w:val="top"/>
          </w:tcPr>
          <w:p>
            <w:pPr>
              <w:spacing w:after="10"/>
            </w:pPr>
            <w:r>
              <w:rPr>
                <w:rStyle w:val=""/>
              </w:rPr>
              <w:t xml:space="preserve">USB Adapater, für Wireless Dienste der HELLA APS Sensoren</w:t>
            </w:r>
          </w:p>
        </w:tc>
      </w:tr>
    </w:tbl>
    <w:p>
      <w:pPr>
        <w:pStyle w:val="p2Style"/>
      </w:pPr>
      <w:r>
        <w:rPr>
          <w:rStyle w:val="head2Style"/>
        </w:rPr>
        <w:t xml:space="preserve"/>
      </w:r>
    </w:p>
    <w:p>
      <w:pPr>
        <w:pStyle w:val="p2Style"/>
      </w:pPr>
      <w:r>
        <w:rPr>
          <w:rStyle w:val="head2Style"/>
        </w:rPr>
        <w:t xml:space="preserve">Empfehlungen</w:t>
      </w:r>
    </w:p>
    <w:p>
      <w:pPr>
        <w:pStyle w:val="p2Style"/>
      </w:pPr>
      <w:r>
        <w:rPr>
          <w:rStyle w:val="head2Style"/>
        </w:rPr>
        <w:t xml:space="preserve"/>
      </w:r>
    </w:p>
    <w:p>
      <w:pPr>
        <w:pStyle w:val="p2Style"/>
      </w:pPr>
      <w:r>
        <w:rPr>
          <w:rStyle w:val="head2Style"/>
        </w:rPr>
        <w:t xml:space="preserve">Dienstleistungen</w:t>
      </w:r>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headStyle"/>
    <w:rPr>
      <w:sz w:val="28"/>
      <w:szCs w:val="28"/>
      <w:b/>
    </w:rPr>
  </w:style>
  <w:style w:type="character">
    <w:name w:val="head2Style"/>
    <w:rPr>
      <w:b/>
    </w:rPr>
  </w:style>
  <w:style w:type="character">
    <w:name w:val="textStyle"/>
    <w:rPr/>
  </w:style>
  <w:style w:type="paragraph" w:customStyle="1" w:styleId="pStyle">
    <w:name w:val="pStyle"/>
    <w:pPr>
      <w:jc w:val="center"/>
      <w:spacing w:after="1"/>
    </w:pPr>
  </w:style>
  <w:style w:type="paragraph" w:customStyle="1" w:styleId="p2Style">
    <w:name w:val="p2Style"/>
    <w:pPr>
      <w:jc w:val="left"/>
      <w:spacing w:after="1"/>
    </w:pPr>
  </w:style>
  <w:style w:type="table" w:customStyle="1" w:styleId="specifications">
    <w:name w:val="specifications"/>
    <w:uiPriority w:val="99"/>
    <w:tblPr>
      <w:tblCellMar>
        <w:top w:w="0" w:type="dxa"/>
        <w:left w:w="0" w:type="dxa"/>
        <w:right w:w="0" w:type="dxa"/>
        <w:bottom w:w="0" w:type="dxa"/>
      </w:tblCellMar>
      <w:tblBorders>
        <w:top w:val="single" w:sz="0" w:color="ffffff"/>
        <w:left w:val="single" w:sz="0" w:color="ffffff"/>
        <w:right w:val="single" w:sz="0" w:color="ffffff"/>
        <w:bottom w:val="single" w:sz="0" w:color="ffffff"/>
        <w:insideH w:val="single" w:sz="0" w:color="ffffff"/>
        <w:insideV w:val="single" w:sz="0" w:color="ffffff"/>
      </w:tblBorders>
    </w:tblPr>
    <w:tblStylePr w:type="firstRow">
      <w:tcPr>
        <w:shd w:val="clear" w:color="auto" w:fill="ffffff"/>
        <w:tcBorders>
          <w:bottom w:val="single" w:sz="0" w:color="ffffff"/>
        </w:tcBorders>
      </w:tcPr>
    </w:tblStylePr>
  </w:style>
  <w:style w:type="table" w:customStyle="1" w:styleId="crosssell_products">
    <w:name w:val="crosssell_products"/>
    <w:uiPriority w:val="99"/>
    <w:tblPr>
      <w:tblCellMar>
        <w:top w:w="0" w:type="dxa"/>
        <w:left w:w="0" w:type="dxa"/>
        <w:right w:w="0" w:type="dxa"/>
        <w:bottom w:w="0" w:type="dxa"/>
      </w:tblCellMar>
      <w:tblBorders>
        <w:top w:val="single" w:sz="0" w:color="ffffff"/>
        <w:left w:val="single" w:sz="0" w:color="ffffff"/>
        <w:right w:val="single" w:sz="0" w:color="ffffff"/>
        <w:bottom w:val="single" w:sz="0" w:color="ffffff"/>
        <w:insideH w:val="single" w:sz="0" w:color="ffffff"/>
        <w:insideV w:val="single" w:sz="0" w:color="ffffff"/>
      </w:tblBorders>
    </w:tblPr>
    <w:tblStylePr w:type="firstRow">
      <w:tcPr>
        <w:shd w:val="clear" w:color="auto" w:fill="ffffff"/>
        <w:tcBorders>
          <w:bottom w:val="single" w:sz="0" w:color="ffffff"/>
        </w:tcBorders>
      </w:tcPr>
    </w:tblStylePr>
  </w:style>
  <w:style w:type="table" w:customStyle="1" w:styleId="upsell_products">
    <w:name w:val="upsell_products"/>
    <w:uiPriority w:val="99"/>
    <w:tblPr>
      <w:tblCellMar>
        <w:top w:w="0" w:type="dxa"/>
        <w:left w:w="0" w:type="dxa"/>
        <w:right w:w="0" w:type="dxa"/>
        <w:bottom w:w="0" w:type="dxa"/>
      </w:tblCellMar>
      <w:tblBorders>
        <w:top w:val="single" w:sz="0" w:color="ffffff"/>
        <w:left w:val="single" w:sz="0" w:color="ffffff"/>
        <w:right w:val="single" w:sz="0" w:color="ffffff"/>
        <w:bottom w:val="single" w:sz="0" w:color="ffffff"/>
        <w:insideH w:val="single" w:sz="0" w:color="ffffff"/>
        <w:insideV w:val="single" w:sz="0" w:color="ffffff"/>
      </w:tblBorders>
    </w:tblPr>
    <w:tblStylePr w:type="firstRow">
      <w:tcPr>
        <w:shd w:val="clear" w:color="auto" w:fill="ffffff"/>
        <w:tcBorders>
          <w:bottom w:val="single" w:sz="0" w:color="ffffff"/>
        </w:tcBorders>
      </w:tcPr>
    </w:tblStylePr>
  </w:style>
  <w:style w:type="table" w:customStyle="1" w:styleId="related_products">
    <w:name w:val="related_products"/>
    <w:uiPriority w:val="99"/>
    <w:tblPr>
      <w:tblCellMar>
        <w:top w:w="0" w:type="dxa"/>
        <w:left w:w="0" w:type="dxa"/>
        <w:right w:w="0" w:type="dxa"/>
        <w:bottom w:w="0" w:type="dxa"/>
      </w:tblCellMar>
      <w:tblBorders>
        <w:top w:val="single" w:sz="0" w:color="ffffff"/>
        <w:left w:val="single" w:sz="0" w:color="ffffff"/>
        <w:right w:val="single" w:sz="0" w:color="ffffff"/>
        <w:bottom w:val="single" w:sz="0" w:color="ffffff"/>
        <w:insideH w:val="single" w:sz="0" w:color="ffffff"/>
        <w:insideV w:val="single" w:sz="0" w:color="ffffff"/>
      </w:tblBorders>
    </w:tblPr>
    <w:tblStylePr w:type="firstRow">
      <w:tcPr>
        <w:shd w:val="clear" w:color="auto" w:fill="ffffff"/>
        <w:tcBorders>
          <w:bottom w:val="single" w:sz="0" w:color="ffffff"/>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2024-03-29T10:57:58+00:00</dcterms:created>
  <dcterms:modified xsi:type="dcterms:W3CDTF">2024-03-29T10:57:58+00:00</dcterms:modified>
  <dc:title/>
  <dc:description/>
  <dc:subject/>
  <cp:keywords/>
  <cp:category/>
</cp:coreProperties>
</file>