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PoE+, Innen, RJ45, bis 1000m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Reichweite von Ethernet und PoE</w:t>
      </w:r>
    </w:p>
    <w:p>
      <w:pPr>
        <w:pStyle w:val="p2Style"/>
      </w:pPr>
      <w:r>
        <w:rPr>
          <w:rStyle w:val="textStyle"/>
        </w:rPr>
        <w:t xml:space="preserve">Bis zu 1000m Reichweite möglich</w:t>
      </w:r>
    </w:p>
    <w:p>
      <w:pPr>
        <w:pStyle w:val="p2Style"/>
      </w:pPr>
      <w:r>
        <w:rPr>
          <w:rStyle w:val="textStyle"/>
        </w:rPr>
        <w:t xml:space="preserve">IEEE 802.3af und IEEE 802.3at kompatibel</w:t>
      </w:r>
    </w:p>
    <w:p>
      <w:pPr>
        <w:pStyle w:val="p2Style"/>
      </w:pPr>
      <w:r>
        <w:rPr>
          <w:rStyle w:val="textStyle"/>
        </w:rPr>
        <w:t xml:space="preserve">Robustes Design mit großer Temperaturbereich</w:t>
      </w:r>
    </w:p>
    <w:p>
      <w:pPr>
        <w:pStyle w:val="p2Style"/>
      </w:pPr>
      <w:r>
        <w:rPr>
          <w:rStyle w:val="textStyle"/>
        </w:rPr>
        <w:t xml:space="preserve">Temperaturbereich: -40 °C bis 70 °C</w:t>
      </w:r>
    </w:p>
    <w:p>
      <w:pPr>
        <w:pStyle w:val="p2Style"/>
      </w:pPr>
      <w:r>
        <w:rPr>
          <w:rStyle w:val="textStyle"/>
        </w:rPr>
        <w:t xml:space="preserve">Für CAT6- und CAT5e Netzwerkkabel</w:t>
      </w:r>
    </w:p>
    <w:p>
      <w:pPr>
        <w:pStyle w:val="p2Style"/>
      </w:pPr>
      <w:r>
        <w:rPr>
          <w:rStyle w:val="textStyle"/>
        </w:rPr>
        <w:t xml:space="preserve">NEMA TS2 kompatibel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Kosteneffiziente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2026-10-13T11:55:57+00:00</dcterms:created>
  <dcterms:modified xsi:type="dcterms:W3CDTF">2026-10-13T11:55:57+00:00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