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Hängeflanschplatte für Innenanwendung</w:t>
      </w:r>
    </w:p>
    <w:p>
      <w:pPr>
        <w:pStyle w:val="p2Style"/>
      </w:pPr>
      <w:r>
        <w:rPr>
          <w:rStyle w:val="textStyle"/>
        </w:rPr>
        <w:t xml:space="preserve">Kompatibel mit PNM-9084RQZ und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SBP-317HMW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