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Hängeflanschplatte für Innenanwendung</w:t>
      </w:r>
    </w:p>
    <w:p>
      <w:pPr>
        <w:pStyle w:val="p2Style"/>
      </w:pPr>
      <w:r>
        <w:rPr>
          <w:rStyle w:val="textStyle"/>
        </w:rPr>
        <w:t xml:space="preserve">Kompatibel mit PNM-9084RQZ und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2026-09-30T02:13:52+00:00</dcterms:created>
  <dcterms:modified xsi:type="dcterms:W3CDTF">2026-09-30T02:13:52+00:00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