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ML183M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manuell, 1/3"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5 Megapixel für anspruchsvolle Anwendungen</w:t>
      </w:r>
    </w:p>
    <w:p>
      <w:pPr>
        <w:pStyle w:val="p2Style"/>
      </w:pPr>
      <w:r>
        <w:rPr>
          <w:rStyle w:val="textStyle"/>
        </w:rPr>
        <w:t xml:space="preserve">IR-korrigiert für Tag/Nacht-Kameras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Maximal nutzbar bis 1/2,5" (115°-88° horizontal)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ML183M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2026-06-25T18:24:26+00:00</dcterms:created>
  <dcterms:modified xsi:type="dcterms:W3CDTF">2026-06-25T18:24:26+00:00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