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4,1-16,4mm, H.265, 1920x1080, IK10,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4,1-16,4mm Varifokal Objektiv, DC-Iris</w:t>
      </w:r>
    </w:p>
    <w:p>
      <w:pPr>
        <w:pStyle w:val="p2Style"/>
      </w:pPr>
      <w:r>
        <w:rPr>
          <w:rStyle w:val="textStyle"/>
        </w:rPr>
        <w:t xml:space="preserve">0,004 Lux (F0,94, Farbe), eXtraLUX Low Light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Aluminiumgehäuse,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F0,94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100 - 26,2°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2026-07-21T10:27:26+00:00</dcterms:created>
  <dcterms:modified xsi:type="dcterms:W3CDTF">2026-07-21T10:27:26+00:00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