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4,1-16,4mm, H.265, 1920x1080, IK10,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4,1-16,4mm Varifokal Objektiv, DC-Iris</w:t>
      </w:r>
    </w:p>
    <w:p>
      <w:pPr>
        <w:pStyle w:val="p2Style"/>
      </w:pPr>
      <w:r>
        <w:rPr>
          <w:rStyle w:val="textStyle"/>
        </w:rPr>
        <w:t xml:space="preserve">0,004 Lux (F0,94, Farbe), eXtraLUX Low Light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DC, 24VAC</w:t>
      </w:r>
    </w:p>
    <w:p>
      <w:pPr>
        <w:pStyle w:val="p2Style"/>
      </w:pPr>
      <w:r>
        <w:rPr>
          <w:rStyle w:val="textStyle"/>
        </w:rPr>
        <w:t xml:space="preserve">Für Außen, Aluminiumgehäuse,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0,004 Lux bei F0,94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100 - 26,2°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4,1 - 16,4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2026-10-19T01:07:31+00:00</dcterms:created>
  <dcterms:modified xsi:type="dcterms:W3CDTF">2026-10-19T01:07:31+00:00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