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224322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QNV-6023R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3,6mm, 1920x1280, H.265, IK10, IP66, IR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Festbrennweite F2,0/3,6mm, 94,8° HFoV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(120dB), SSNRV</w:t>
      </w:r>
    </w:p>
    <w:p>
      <w:pPr>
        <w:pStyle w:val="p2Style"/>
      </w:pPr>
      <w:r>
        <w:rPr>
          <w:rStyle w:val="textStyle"/>
        </w:rPr>
        <w:t xml:space="preserve">Lichtempfindlichkeit 0,03Lux (F2,0, Farbe)</w:t>
      </w:r>
    </w:p>
    <w:p>
      <w:pPr>
        <w:pStyle w:val="p2Style"/>
      </w:pPr>
      <w:r>
        <w:rPr>
          <w:rStyle w:val="textStyle"/>
        </w:rPr>
        <w:t xml:space="preserve">Infrarotbeleuchtung, bis 15m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Micro SDXC Slot, FBAS Video Installationshilfe</w:t>
      </w:r>
    </w:p>
    <w:p>
      <w:pPr>
        <w:pStyle w:val="p2Style"/>
      </w:pPr>
      <w:r>
        <w:rPr>
          <w:rStyle w:val="textStyle"/>
        </w:rPr>
        <w:t xml:space="preserve">Stromversorgung: PoE (IEEE802.3af)</w:t>
      </w:r>
    </w:p>
    <w:p>
      <w:pPr>
        <w:pStyle w:val="p2Style"/>
      </w:pPr>
      <w:r>
        <w:rPr>
          <w:rStyle w:val="textStyle"/>
        </w:rPr>
        <w:t xml:space="preserve">Für Außenanwendung, IP66</w:t>
      </w:r>
    </w:p>
    <w:p>
      <w:pPr>
        <w:pStyle w:val="p2Style"/>
      </w:pPr>
      <w:r>
        <w:rPr>
          <w:rStyle w:val="textStyle"/>
        </w:rPr>
        <w:t xml:space="preserve">Aluminiumgehäuse, IK10 Vandalismusschutz</w:t>
      </w:r>
    </w:p>
    <w:p>
      <w:pPr>
        <w:pStyle w:val="p2Style"/>
      </w:pPr>
      <w:r>
        <w:rPr>
          <w:rStyle w:val="textStyle"/>
        </w:rPr>
        <w:t xml:space="preserve">Vibrationsschutz: EN 50155, EN 50121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Transportation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IK10,EN 50121,EN 50155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0,03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94,8°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QNV-6023R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Q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2026-07-21T09:45:50+00:00</dcterms:created>
  <dcterms:modified xsi:type="dcterms:W3CDTF">2026-07-21T09:45:50+00:00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