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4,25-170mm, 1920x1280,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F1,6-4.95/4,25-170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High PoE (60W) Midspan im Lieferumfang</w:t>
      </w:r>
    </w:p>
    <w:p>
      <w:pPr>
        <w:pStyle w:val="p2Style"/>
      </w:pPr>
      <w:r>
        <w:rPr>
          <w:rStyle w:val="textStyle"/>
        </w:rPr>
        <w:t xml:space="preserve">Schutzklasse IP66, IK10 Vandalimusschutz</w:t>
      </w:r>
    </w:p>
    <w:p>
      <w:pPr>
        <w:pStyle w:val="p2Style"/>
      </w:pPr>
      <w:r>
        <w:rPr>
          <w:rStyle w:val="textStyle"/>
        </w:rPr>
        <w:t xml:space="preserve">-50°C bis +50°C, Arctic Temperature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-2°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Q6010-E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Q60-E,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2026-07-21T10:23:42+00:00</dcterms:created>
  <dcterms:modified xsi:type="dcterms:W3CDTF">2026-07-21T10:23:42+00:00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