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VOR-ORM-G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PoE+, 90W, Erweiterung um 200m, Gigabit,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Gigabit Ethernet auf 200 m</w:t>
      </w:r>
    </w:p>
    <w:p>
      <w:pPr>
        <w:pStyle w:val="p2Style"/>
      </w:pPr>
      <w:r>
        <w:rPr>
          <w:rStyle w:val="textStyle"/>
        </w:rPr>
        <w:t xml:space="preserve">Max. bis 700 m kaskadierbar</w:t>
      </w:r>
    </w:p>
    <w:p>
      <w:pPr>
        <w:pStyle w:val="p2Style"/>
      </w:pPr>
      <w:r>
        <w:rPr>
          <w:rStyle w:val="textStyle"/>
        </w:rPr>
        <w:t xml:space="preserve">Übertragung von PoE, PoE+ (max. 90 W)</w:t>
      </w:r>
    </w:p>
    <w:p>
      <w:pPr>
        <w:pStyle w:val="p2Style"/>
      </w:pPr>
      <w:r>
        <w:rPr>
          <w:rStyle w:val="textStyle"/>
        </w:rPr>
        <w:t xml:space="preserve">Betriebstemperatur: -40°C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VOR-ORM-G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2026-06-28T03:57:08+00:00</dcterms:created>
  <dcterms:modified xsi:type="dcterms:W3CDTF">2026-06-28T03:57:08+00:00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