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Außen,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32x optischer Zoom, 12x digitaler Zoom</w:t>
      </w:r>
    </w:p>
    <w:p>
      <w:pPr>
        <w:pStyle w:val="p2Style"/>
      </w:pPr>
      <w:r>
        <w:rPr>
          <w:rStyle w:val="textStyle"/>
        </w:rPr>
        <w:t xml:space="preserve">Lichtempfindlichkeit 0,1 lux @ 30IRE F1,4 (Farbe)</w:t>
      </w:r>
    </w:p>
    <w:p>
      <w:pPr>
        <w:pStyle w:val="p2Style"/>
      </w:pPr>
      <w:r>
        <w:rPr>
          <w:rStyle w:val="textStyle"/>
        </w:rPr>
        <w:t xml:space="preserve">Brennweite 4,3 - 137,6 mm, 58,7°- 2,4° HoV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Forensic WDR und Lightfinder 2.0</w:t>
      </w:r>
    </w:p>
    <w:p>
      <w:pPr>
        <w:pStyle w:val="p2Style"/>
      </w:pPr>
      <w:r>
        <w:rPr>
          <w:rStyle w:val="textStyle"/>
        </w:rPr>
        <w:t xml:space="preserve">Focus Recall Funktion, EIS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SDHC/SDXC-Kartenslot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PoE+ (IEEE 802.3at, Type 2, Class 4)</w:t>
      </w:r>
    </w:p>
    <w:p>
      <w:pPr>
        <w:pStyle w:val="p2Style"/>
      </w:pPr>
      <w:r>
        <w:rPr>
          <w:rStyle w:val="textStyle"/>
        </w:rPr>
        <w:t xml:space="preserve">Temperaturbereich -30 °C bis 55 °C</w:t>
      </w:r>
    </w:p>
    <w:p>
      <w:pPr>
        <w:pStyle w:val="p2Style"/>
      </w:pPr>
      <w:r>
        <w:rPr>
          <w:rStyle w:val="textStyle"/>
        </w:rPr>
        <w:t xml:space="preserve">Schutzart IP66,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