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HARD DRIVE 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End-to-end Axis Qualität</w:t>
      </w:r>
    </w:p>
    <w:p>
      <w:pPr>
        <w:pStyle w:val="p2Style"/>
      </w:pPr>
      <w:r>
        <w:rPr>
          <w:rStyle w:val="textStyle"/>
        </w:rPr>
        <w:t xml:space="preserve">Für Dauerbetrieb in Überwachungssystemen</w:t>
      </w:r>
    </w:p>
    <w:p>
      <w:pPr>
        <w:pStyle w:val="p2Style"/>
      </w:pPr>
      <w:r>
        <w:rPr>
          <w:rStyle w:val="textStyle"/>
        </w:rPr>
        <w:t xml:space="preserve">Für hochauflösende Videoaufzeichnung</w:t>
      </w:r>
    </w:p>
    <w:p>
      <w:pPr>
        <w:pStyle w:val="p2Style"/>
      </w:pPr>
      <w:r>
        <w:rPr>
          <w:rStyle w:val="textStyle"/>
        </w:rPr>
        <w:t xml:space="preserve">Kompatibel mit AXIS S2212 und AXIS S2224</w:t>
      </w:r>
    </w:p>
    <w:p>
      <w:pPr>
        <w:pStyle w:val="p2Style"/>
      </w:pPr>
      <w:r>
        <w:rPr>
          <w:rStyle w:val="textStyle"/>
        </w:rPr>
        <w:t xml:space="preserve">Kontinuierliche oder ereignisgesteuerte Aufzeichnung</w:t>
      </w:r>
    </w:p>
    <w:p>
      <w:pPr>
        <w:pStyle w:val="p2Style"/>
      </w:pPr>
      <w:r>
        <w:rPr>
          <w:rStyle w:val="textStyle"/>
        </w:rPr>
        <w:t xml:space="preserve">Für Workloads mit hohen Schreibzyklen</w:t>
      </w:r>
    </w:p>
    <w:p>
      <w:pPr>
        <w:pStyle w:val="p2Style"/>
      </w:pPr>
      <w:r>
        <w:rPr>
          <w:rStyle w:val="textStyle"/>
        </w:rPr>
        <w:t xml:space="preserve">Speichererweiterung für kompatible Axis Geräte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6 TB Kapazität, 64MB Cache</w:t>
      </w:r>
    </w:p>
    <w:p>
      <w:pPr>
        <w:pStyle w:val="p2Style"/>
      </w:pPr>
      <w:r>
        <w:rPr>
          <w:rStyle w:val="textStyle"/>
        </w:rPr>
        <w:t xml:space="preserve">3 Jahre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2026-06-23T06:59:22+00:00</dcterms:created>
  <dcterms:modified xsi:type="dcterms:W3CDTF">2026-06-23T06:59:22+00:00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