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SBV-120GW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Kompatibel mit QNV-6012R/6022R/6032R</w:t>
      </w:r>
    </w:p>
    <w:p>
      <w:pPr>
        <w:pStyle w:val="p2Style"/>
      </w:pPr>
      <w:r>
        <w:rPr>
          <w:rStyle w:val="textStyle"/>
        </w:rPr>
        <w:t xml:space="preserve">Kompatibel mit QNV-8010R/8020R/8030R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SBV-120GW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