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Kompatibel mit QND-6011/6012R/6021/6022R</w:t>
      </w:r>
    </w:p>
    <w:p>
      <w:pPr>
        <w:pStyle w:val="p2Style"/>
      </w:pPr>
      <w:r>
        <w:rPr>
          <w:rStyle w:val="textStyle"/>
        </w:rPr>
        <w:t xml:space="preserve">Kompatibel mit QND-6032R/6072R/6082R</w:t>
      </w:r>
    </w:p>
    <w:p>
      <w:pPr>
        <w:pStyle w:val="p2Style"/>
      </w:pPr>
      <w:r>
        <w:rPr>
          <w:rStyle w:val="textStyle"/>
        </w:rPr>
        <w:t xml:space="preserve">Kompatibel mit QND-8010R/8011/8020R</w:t>
      </w:r>
    </w:p>
    <w:p>
      <w:pPr>
        <w:pStyle w:val="p2Style"/>
      </w:pPr>
      <w:r>
        <w:rPr>
          <w:rStyle w:val="textStyle"/>
        </w:rPr>
        <w:t xml:space="preserve">Kompatibel mit QND-8021/8030R/8080R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