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8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Core Lizenzen</w:t>
      </w:r>
    </w:p>
    <w:p>
      <w:pPr>
        <w:pStyle w:val="p2Style"/>
      </w:pPr>
      <w:r>
        <w:rPr>
          <w:rStyle w:val="textStyle"/>
        </w:rPr>
        <w:t xml:space="preserve">Integrierter 16 Port PoE-Switch mit 260W Budget</w:t>
      </w:r>
    </w:p>
    <w:p>
      <w:pPr>
        <w:pStyle w:val="p2Style"/>
      </w:pPr>
      <w:r>
        <w:rPr>
          <w:rStyle w:val="textStyle"/>
        </w:rPr>
        <w:t xml:space="preserve">384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i5,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8 TB (2 x 4 TB) Festplatte, 2x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