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4mm, 1920x1080,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F1,6/4 mm Festbrennweite, 87,6° HFoV</w:t>
      </w:r>
    </w:p>
    <w:p>
      <w:pPr>
        <w:pStyle w:val="p2Style"/>
      </w:pPr>
      <w:r>
        <w:rPr>
          <w:rStyle w:val="textStyle"/>
        </w:rPr>
        <w:t xml:space="preserve">Lichtempfindlichkeit 0,17 Lux bei F1,6 (Farbe)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2026-08-20T03:46:26+00:00</dcterms:created>
  <dcterms:modified xsi:type="dcterms:W3CDTF">2026-08-20T03:46:26+00:00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