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 BATTERY LARGE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Akku für Multiformat SeeEyes Servicemonitor, groß, Ersatzteil ab 08/17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für:</w:t>
      </w:r>
    </w:p>
    <w:p>
      <w:pPr>
        <w:pStyle w:val="p2Style"/>
      </w:pPr>
      <w:r>
        <w:rPr>
          <w:rStyle w:val="textStyle"/>
        </w:rPr>
        <w:t xml:space="preserve">SC-LFC07HD</w:t>
      </w:r>
    </w:p>
    <w:p>
      <w:pPr>
        <w:pStyle w:val="p2Style"/>
      </w:pPr>
      <w:r>
        <w:rPr>
          <w:rStyle w:val="textStyle"/>
        </w:rPr>
        <w:t xml:space="preserve">SC-MFM07HD</w:t>
      </w:r>
    </w:p>
    <w:p>
      <w:pPr>
        <w:pStyle w:val="p2Style"/>
      </w:pPr>
      <w:r>
        <w:rPr>
          <w:rStyle w:val="textStyle"/>
        </w:rPr>
        <w:t xml:space="preserve">SC-IPM07HD/PRO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 BATTERY LARGE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2026-11-07T17:01:22+00:00</dcterms:created>
  <dcterms:modified xsi:type="dcterms:W3CDTF">2026-11-07T17:01:22+00:00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