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 BATTERY LARGE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Akku für Multiformat SeeEyes Servicemonitor, groß, Ersatzteil ab 08/17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für:</w:t>
      </w:r>
    </w:p>
    <w:p>
      <w:pPr>
        <w:pStyle w:val="p2Style"/>
      </w:pPr>
      <w:r>
        <w:rPr>
          <w:rStyle w:val="textStyle"/>
        </w:rPr>
        <w:t xml:space="preserve">SC-LFC07HD</w:t>
      </w:r>
    </w:p>
    <w:p>
      <w:pPr>
        <w:pStyle w:val="p2Style"/>
      </w:pPr>
      <w:r>
        <w:rPr>
          <w:rStyle w:val="textStyle"/>
        </w:rPr>
        <w:t xml:space="preserve">SC-MFM07HD</w:t>
      </w:r>
    </w:p>
    <w:p>
      <w:pPr>
        <w:pStyle w:val="p2Style"/>
      </w:pPr>
      <w:r>
        <w:rPr>
          <w:rStyle w:val="textStyle"/>
        </w:rPr>
        <w:t xml:space="preserve">SC-IPM07HD/PRO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 BATTERY LARGE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2026-06-25T04:33:50+00:00</dcterms:created>
  <dcterms:modified xsi:type="dcterms:W3CDTF">2026-06-25T04:33:50+00:00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