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Fulfillment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Lieferschein im Kundendesign, neutrales Paketband,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Lieferscheine in Ihrem Firmendesign</w:t>
      </w:r>
    </w:p>
    <w:p>
      <w:pPr>
        <w:pStyle w:val="p2Style"/>
      </w:pPr>
      <w:r>
        <w:rPr>
          <w:rStyle w:val="textStyle"/>
        </w:rPr>
        <w:t xml:space="preserve">Grafiken, Schriftart, Texte nach Ihren Vorgaben</w:t>
      </w:r>
    </w:p>
    <w:p>
      <w:pPr>
        <w:pStyle w:val="p2Style"/>
      </w:pPr>
      <w:r>
        <w:rPr>
          <w:rStyle w:val="textStyle"/>
        </w:rPr>
        <w:t xml:space="preserve">Lieferung in Ihrem Namen (innerhalb EU)</w:t>
      </w:r>
    </w:p>
    <w:p>
      <w:pPr>
        <w:pStyle w:val="p2Style"/>
      </w:pPr>
      <w:r>
        <w:rPr>
          <w:rStyle w:val="textStyle"/>
        </w:rPr>
        <w:t xml:space="preserve">Verwendung von neutralem Paketband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Enthalten in VIDEOR DATA Premium (VER079)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2026-06-27T19:24:23+00:00</dcterms:created>
  <dcterms:modified xsi:type="dcterms:W3CDTF">2026-06-27T19:24:23+00:00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