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jetpower-PSU-M Universal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90-264VAC, Ausgang 12V/6.67A ID 2.5 x OD 5.5, Netzzuleitung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eneo BLR-3016</w:t>
      </w:r>
    </w:p>
    <w:p>
      <w:pPr>
        <w:pStyle w:val="p2Style"/>
      </w:pPr>
      <w:r>
        <w:rPr>
          <w:rStyle w:val="textStyle"/>
        </w:rPr>
        <w:t xml:space="preserve">Für eneo DLR-1004 ab Anfang 2012</w:t>
      </w:r>
    </w:p>
    <w:p>
      <w:pPr>
        <w:pStyle w:val="p2Style"/>
      </w:pPr>
      <w:r>
        <w:rPr>
          <w:rStyle w:val="textStyle"/>
        </w:rPr>
        <w:t xml:space="preserve">(vor S/N 12094412010001 -&gt; 903544)</w:t>
      </w:r>
    </w:p>
    <w:p>
      <w:pPr>
        <w:pStyle w:val="p2Style"/>
      </w:pPr>
      <w:r>
        <w:rPr>
          <w:rStyle w:val="textStyle"/>
        </w:rPr>
        <w:t xml:space="preserve">Für eneo DLR-2004, DLR-2008, DLR-2016, DLR-2104, DLR-2108, DLR-2116</w:t>
      </w:r>
    </w:p>
    <w:p>
      <w:pPr>
        <w:pStyle w:val="p2Style"/>
      </w:pPr>
      <w:r>
        <w:rPr>
          <w:rStyle w:val="textStyle"/>
        </w:rPr>
        <w:t xml:space="preserve">Für eneo HDR-4004AE, HDR-5008AH</w:t>
      </w:r>
    </w:p>
    <w:p>
      <w:pPr>
        <w:pStyle w:val="p2Style"/>
      </w:pPr>
      <w:r>
        <w:rPr>
          <w:rStyle w:val="textStyle"/>
        </w:rPr>
        <w:t xml:space="preserve">Für eneo VMC-17LCD-OPC1-4, VMC-19LCD-OPC1-4</w:t>
      </w:r>
    </w:p>
    <w:p>
      <w:pPr>
        <w:pStyle w:val="p2Style"/>
      </w:pPr>
      <w:r>
        <w:rPr>
          <w:rStyle w:val="textStyle"/>
        </w:rPr>
        <w:t xml:space="preserve">Für eneo VMC-17LEDOPC4 B, VMC-19LEDOPC4</w:t>
      </w:r>
    </w:p>
    <w:p>
      <w:pPr>
        <w:pStyle w:val="p2Style"/>
      </w:pPr>
      <w:r>
        <w:rPr>
          <w:rStyle w:val="textStyle"/>
        </w:rPr>
        <w:t xml:space="preserve">Für eneo VMC-15LCD-CP/CM</w:t>
      </w:r>
    </w:p>
    <w:p>
      <w:pPr>
        <w:pStyle w:val="p2Style"/>
      </w:pPr>
      <w:r>
        <w:rPr>
          <w:rStyle w:val="textStyle"/>
        </w:rPr>
        <w:t xml:space="preserve">Für eneo VMC-17LCD-PT</w:t>
      </w:r>
    </w:p>
    <w:p>
      <w:pPr>
        <w:pStyle w:val="p2Style"/>
      </w:pPr>
      <w:r>
        <w:rPr>
          <w:rStyle w:val="textStyle"/>
        </w:rPr>
        <w:t xml:space="preserve">Für eneo VMC-27</w:t>
      </w:r>
    </w:p>
    <w:p>
      <w:pPr>
        <w:pStyle w:val="p2Style"/>
      </w:pPr>
      <w:r>
        <w:rPr>
          <w:rStyle w:val="textStyle"/>
        </w:rPr>
        <w:t xml:space="preserve">Für eneo VM-17PD, VM-19PD, VM-22PD</w:t>
      </w:r>
    </w:p>
    <w:p>
      <w:pPr>
        <w:pStyle w:val="p2Style"/>
      </w:pPr>
      <w:r>
        <w:rPr>
          <w:rStyle w:val="textStyle"/>
        </w:rPr>
        <w:t xml:space="preserve">Für eneo 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2026-06-03T16:02:40+00:00</dcterms:created>
  <dcterms:modified xsi:type="dcterms:W3CDTF">2026-06-03T16:02:40+00:00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