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17,2°, 640x480, 30fps, Audio, RS-485,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640x480 Pixel mit 30 Bilder/Sek.</w:t>
      </w:r>
    </w:p>
    <w:p>
      <w:pPr>
        <w:pStyle w:val="p2Style"/>
      </w:pPr>
      <w:r>
        <w:rPr>
          <w:rStyle w:val="textStyle"/>
        </w:rPr>
        <w:t xml:space="preserve">Brennweite 35 mm: 17,2° HFoV</w:t>
      </w:r>
    </w:p>
    <w:p>
      <w:pPr>
        <w:pStyle w:val="p2Style"/>
      </w:pPr>
      <w:r>
        <w:rPr>
          <w:rStyle w:val="textStyle"/>
        </w:rPr>
        <w:t xml:space="preserve">H.265 mit WiseStreamII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Full Duplex Audio Support, RS485-Schnittstelle</w:t>
      </w:r>
    </w:p>
    <w:p>
      <w:pPr>
        <w:pStyle w:val="p2Style"/>
      </w:pPr>
      <w:r>
        <w:rPr>
          <w:rStyle w:val="textStyle"/>
        </w:rPr>
        <w:t xml:space="preserve">Motion detection,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8801089118479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TNO-4051T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2026-07-21T08:58:31+00:00</dcterms:created>
  <dcterms:modified xsi:type="dcterms:W3CDTF">2026-07-21T08:58:31+00:00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