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60MM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640x480, H.264, Audio, 30fps,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60 mm: 10° FoV</w:t>
      </w:r>
    </w:p>
    <w:p>
      <w:pPr>
        <w:pStyle w:val="p2Style"/>
      </w:pPr>
      <w:r>
        <w:rPr>
          <w:rStyle w:val="textStyle"/>
        </w:rPr>
        <w:t xml:space="preserve">Für AXIS Camera Application Platform Videoanalyse opmiert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IP66/IP67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2026-07-21T08:03:32+00:00</dcterms:created>
  <dcterms:modified xsi:type="dcterms:W3CDTF">2026-07-21T08:03:32+00:00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