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STC-MB43E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S/W-Gehäusekamera 1/3", EIA,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Standard 2:1 Interlace EIA</w:t>
      </w:r>
    </w:p>
    <w:p>
      <w:pPr>
        <w:pStyle w:val="p2Style"/>
      </w:pPr>
      <w:r>
        <w:rPr>
          <w:rStyle w:val="textStyle"/>
        </w:rPr>
        <w:t xml:space="preserve">Äußerst geringe Abmessungen 28x28x46,3mm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Field-/Frame-Integration</w:t>
      </w:r>
    </w:p>
    <w:p>
      <w:pPr>
        <w:pStyle w:val="p2Style"/>
      </w:pPr>
      <w:r>
        <w:rPr>
          <w:rStyle w:val="textStyle"/>
        </w:rPr>
        <w:t xml:space="preserve">Horizontale Auflösung 570 TVL</w:t>
      </w:r>
    </w:p>
    <w:p>
      <w:pPr>
        <w:pStyle w:val="p2Style"/>
      </w:pPr>
      <w:r>
        <w:rPr>
          <w:rStyle w:val="textStyle"/>
        </w:rPr>
        <w:t xml:space="preserve">Empfindlichkeit 0,75 Lux bei F1,2 50 IRE</w:t>
      </w:r>
    </w:p>
    <w:p>
      <w:pPr>
        <w:pStyle w:val="p2Style"/>
      </w:pPr>
      <w:r>
        <w:rPr>
          <w:rStyle w:val="textStyle"/>
        </w:rPr>
        <w:t xml:space="preserve">Gamma 0,45 oder 1,0</w:t>
      </w:r>
    </w:p>
    <w:p>
      <w:pPr>
        <w:pStyle w:val="p2Style"/>
      </w:pPr>
      <w:r>
        <w:rPr>
          <w:rStyle w:val="textStyle"/>
        </w:rPr>
        <w:t xml:space="preserve">DSP parametrierbar über RS232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textStyle"/>
        </w:rPr>
        <w:t xml:space="preserve">Ebenso verfügbar mit 1/2" CCD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756x485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STC-MB43E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2026-05-08T23:07:40+00:00</dcterms:created>
  <dcterms:modified xsi:type="dcterms:W3CDTF">2026-05-08T23:07:40+00:00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