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25kg, VESA 75 bis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VESA 200x100mm, 200x200mm</w:t>
      </w:r>
    </w:p>
    <w:p>
      <w:pPr>
        <w:pStyle w:val="p2Style"/>
      </w:pPr>
      <w:r>
        <w:rPr>
          <w:rStyle w:val="textStyle"/>
        </w:rPr>
        <w:t xml:space="preserve">Traglast: 25kg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70mm</w:t>
      </w:r>
    </w:p>
    <w:p>
      <w:pPr>
        <w:pStyle w:val="p2Style"/>
      </w:pPr>
      <w:r>
        <w:rPr>
          <w:rStyle w:val="textStyle"/>
        </w:rPr>
        <w:t xml:space="preserve">Max. Wandabstand 469mm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2026-07-15T11:42:08+00:00</dcterms:created>
  <dcterms:modified xsi:type="dcterms:W3CDTF">2026-07-15T11:42:08+00:00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