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35kg, bis VESA 400x400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VESA-Standards bis 400x400mm</w:t>
      </w:r>
    </w:p>
    <w:p>
      <w:pPr>
        <w:pStyle w:val="p2Style"/>
      </w:pPr>
      <w:r>
        <w:rPr>
          <w:rStyle w:val="textStyle"/>
        </w:rPr>
        <w:t xml:space="preserve">Traglast: 35kg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-15° - +15° neigbar</w:t>
      </w:r>
    </w:p>
    <w:p>
      <w:pPr>
        <w:pStyle w:val="p2Style"/>
      </w:pPr>
      <w:r>
        <w:rPr>
          <w:rStyle w:val="textStyle"/>
        </w:rPr>
        <w:t xml:space="preserve">Min. Wandabstand 105mm</w:t>
      </w:r>
    </w:p>
    <w:p>
      <w:pPr>
        <w:pStyle w:val="p2Style"/>
      </w:pPr>
      <w:r>
        <w:rPr>
          <w:rStyle w:val="textStyle"/>
        </w:rPr>
        <w:t xml:space="preserve">Max. Wandabstand 562mm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9,3kg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2026-06-16T10:13:42+00:00</dcterms:created>
  <dcterms:modified xsi:type="dcterms:W3CDTF">2026-06-16T10:13:42+00:00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