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35kg, bis VESA 400x400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bis 400x400mm</w:t>
      </w:r>
    </w:p>
    <w:p>
      <w:pPr>
        <w:pStyle w:val="p2Style"/>
      </w:pPr>
      <w:r>
        <w:rPr>
          <w:rStyle w:val="textStyle"/>
        </w:rPr>
        <w:t xml:space="preserve">Traglast: 35kg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105mm</w:t>
      </w:r>
    </w:p>
    <w:p>
      <w:pPr>
        <w:pStyle w:val="p2Style"/>
      </w:pPr>
      <w:r>
        <w:rPr>
          <w:rStyle w:val="textStyle"/>
        </w:rPr>
        <w:t xml:space="preserve">Max. Wandabstand 562mm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9,3kg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2026-10-27T07:18:02+00:00</dcterms:created>
  <dcterms:modified xsi:type="dcterms:W3CDTF">2026-10-27T07:18:02+00:00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