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PD-42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42" (106cm) LCD Monitor, LED, 1920x1080, FBAS, HDMI, VGA, DisplayPort,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Video Wall Applikationen</w:t>
      </w:r>
    </w:p>
    <w:p>
      <w:pPr>
        <w:pStyle w:val="p2Style"/>
      </w:pPr>
      <w:r>
        <w:rPr>
          <w:rStyle w:val="textStyle"/>
        </w:rPr>
        <w:t xml:space="preserve">Integrierter Video Wall Prozessor</w:t>
      </w:r>
    </w:p>
    <w:p>
      <w:pPr>
        <w:pStyle w:val="p2Style"/>
      </w:pPr>
      <w:r>
        <w:rPr>
          <w:rStyle w:val="textStyle"/>
        </w:rPr>
        <w:t xml:space="preserve">Nur 6,5mm Rahmen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(1300:1)</w:t>
      </w:r>
    </w:p>
    <w:p>
      <w:pPr>
        <w:pStyle w:val="p2Style"/>
      </w:pPr>
      <w:r>
        <w:rPr>
          <w:rStyle w:val="textStyle"/>
        </w:rPr>
        <w:t xml:space="preserve">Helligkeit 700 cd/qm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VGA, DVI, YPrPb, HDMI, FBAS, DisplayPort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REACH,WEEE,RoHS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Component (YPbPr), Composite (FBAS), DisplayPort, DVI-D,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PD420011M0000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2026-09-04T08:49:10+00:00</dcterms:created>
  <dcterms:modified xsi:type="dcterms:W3CDTF">2026-09-04T08:49:10+00:00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