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SI.GN2.ER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 2 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Alle Komponenten müssen mit SI.SW konfiguriert werden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textStyle"/>
        </w:rPr>
        <w:t xml:space="preserve">Sende- und Empfangsantenne auf der Routerplatine integriert</w:t>
      </w:r>
    </w:p>
    <w:p>
      <w:pPr>
        <w:pStyle w:val="p2Style"/>
      </w:pPr>
      <w:r>
        <w:rPr>
          <w:rStyle w:val="textStyle"/>
        </w:rPr>
        <w:t xml:space="preserve">PoE Fähig (802.3af)</w:t>
      </w:r>
    </w:p>
    <w:p>
      <w:pPr>
        <w:pStyle w:val="p2Style"/>
      </w:pPr>
      <w:r>
        <w:rPr>
          <w:rStyle w:val="textStyle"/>
        </w:rPr>
        <w:t xml:space="preserve">Zur Reichweitenerhöhung kann SI.GN.R genutzt werden</w:t>
      </w:r>
    </w:p>
    <w:p>
      <w:pPr>
        <w:pStyle w:val="p2Style"/>
      </w:pPr>
      <w:r>
        <w:rPr>
          <w:rStyle w:val="textStyle"/>
        </w:rPr>
        <w:t xml:space="preserve">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SI.GN2.ER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