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 SEC/BT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SEC 13,5MHz &amp; 125kHz Leser,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Sicherung des Zugangs durch RFID SEC 13,5MHz/125kHz Leser</w:t>
      </w:r>
    </w:p>
    <w:p>
      <w:pPr>
        <w:pStyle w:val="p2Style"/>
      </w:pPr>
      <w:r>
        <w:rPr>
          <w:rStyle w:val="textStyle"/>
        </w:rPr>
        <w:t xml:space="preserve">Unterstützt ISO14443A und ISO14443B 13,5MHz Karten</w:t>
      </w:r>
    </w:p>
    <w:p>
      <w:pPr>
        <w:pStyle w:val="p2Style"/>
      </w:pPr>
      <w:r>
        <w:rPr>
          <w:rStyle w:val="textStyle"/>
        </w:rPr>
        <w:t xml:space="preserve">Unterstützt EM4100, EM4102, HID Prox 125kHz Karten</w:t>
      </w:r>
    </w:p>
    <w:p>
      <w:pPr>
        <w:pStyle w:val="p2Style"/>
      </w:pPr>
      <w:r>
        <w:rPr>
          <w:rStyle w:val="textStyle"/>
        </w:rPr>
        <w:t xml:space="preserve">Sicheres Auslesen der Seriennummer der Karte (UID)</w:t>
      </w:r>
    </w:p>
    <w:p>
      <w:pPr>
        <w:pStyle w:val="p2Style"/>
      </w:pPr>
      <w:r>
        <w:rPr>
          <w:rStyle w:val="textStyle"/>
        </w:rPr>
        <w:t xml:space="preserve">Zusätzlich Zugangskontrolle durch Bluetooth</w:t>
      </w:r>
    </w:p>
    <w:p>
      <w:pPr>
        <w:pStyle w:val="p2Style"/>
      </w:pPr>
      <w:r>
        <w:rPr>
          <w:rStyle w:val="textStyle"/>
        </w:rPr>
        <w:t xml:space="preserve">Zutrittskontrolle übe Smartphone (NFC &amp; Bluetooth) möglich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Bluetooth,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9160335-S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2026-06-05T19:51:09+00:00</dcterms:created>
  <dcterms:modified xsi:type="dcterms:W3CDTF">2026-06-05T19:51:09+00:00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