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FVT110S1/M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1xVideo, 1xDaten, Kontakt Duplex, 1 Faser, SM, 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Bauform als Minimodul</w:t>
      </w:r>
    </w:p>
    <w:p>
      <w:pPr>
        <w:pStyle w:val="p2Style"/>
      </w:pPr>
      <w:r>
        <w:rPr>
          <w:rStyle w:val="textStyle"/>
        </w:rPr>
        <w:t xml:space="preserve">Optisches Budget: 16dB</w:t>
      </w:r>
    </w:p>
    <w:p>
      <w:pPr>
        <w:pStyle w:val="p2Style"/>
      </w:pPr>
      <w:r>
        <w:rPr>
          <w:rStyle w:val="textStyle"/>
        </w:rPr>
        <w:t xml:space="preserve">Reichweite: 48km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10-bit Digital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FVT110S1/M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2026-07-21T09:46:55+00:00</dcterms:created>
  <dcterms:modified xsi:type="dcterms:W3CDTF">2026-07-21T09:46:55+00:00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